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E1" w:rsidRDefault="00A802E1" w:rsidP="00AD5A3A"/>
    <w:p w:rsidR="00CD623B" w:rsidRDefault="00CD623B" w:rsidP="00AD5A3A"/>
    <w:p w:rsidR="00CD623B" w:rsidRDefault="00CD623B" w:rsidP="00AD5A3A"/>
    <w:p w:rsidR="00CD623B" w:rsidRDefault="00CD623B" w:rsidP="00AD5A3A"/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396D"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:rsidR="00CD623B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01.01. DO 31.12.2016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 Karlovac ostvario je u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Zatezne kamate od uplate učenika po ovrsi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:rsidR="00CD623B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A27616" w:rsidRDefault="00A27616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Hrvatskog rukometnog kluba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sufinanciranje uplate učenika</w:t>
      </w:r>
    </w:p>
    <w:p w:rsidR="00A27616" w:rsidRPr="00CC147A" w:rsidRDefault="00A27616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Sisačko-moslavačke županije- sufinanciranje uplate učenika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općine Lasinja – sufinanciranje uplate učenika</w:t>
      </w:r>
    </w:p>
    <w:p w:rsidR="00CD623B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grada Popovače – sufinanciranje uplate učenika</w:t>
      </w:r>
    </w:p>
    <w:p w:rsidR="00CD623B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Centra za socijalnu skrb Garešnica – sufinanciranje uplate učenika</w:t>
      </w:r>
    </w:p>
    <w:p w:rsidR="00CD623B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Centra za socijalnu skrb Korenica – sufinanciranje uplate učenika</w:t>
      </w:r>
    </w:p>
    <w:p w:rsidR="00CD623B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Centra za socijalnu skrb Ogulin – sufinanciranje uplate učenika</w:t>
      </w:r>
    </w:p>
    <w:p w:rsidR="00A27616" w:rsidRDefault="00A27616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općine Saborsko- sufinanciranje uplate učenika</w:t>
      </w:r>
    </w:p>
    <w:p w:rsidR="00A27616" w:rsidRDefault="00A27616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sufinanciranje Regionalne Domijade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Karlovačke županije za financiranje rashoda za nabavu nefinancijske imovine</w:t>
      </w:r>
    </w:p>
    <w:p w:rsidR="00CD623B" w:rsidRPr="00CC147A" w:rsidRDefault="00CD623B" w:rsidP="00CD62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znanosti, obrazovanja i sporta u iznosu od </w:t>
      </w:r>
      <w:r w:rsidR="00A27616">
        <w:rPr>
          <w:rFonts w:ascii="Times New Roman" w:eastAsia="Times New Roman" w:hAnsi="Times New Roman" w:cs="Times New Roman"/>
          <w:sz w:val="24"/>
          <w:szCs w:val="24"/>
          <w:lang w:eastAsia="hr-HR"/>
        </w:rPr>
        <w:t>2.354.057,82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7616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plaće i naknade zaposlenika, te za plaćanje novčane naknade poslodavca zbog nezapošljavanja osoba s invaliditetom.</w:t>
      </w:r>
    </w:p>
    <w:p w:rsidR="004147D5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iznosu od </w:t>
      </w:r>
      <w:r w:rsidR="00A27616">
        <w:rPr>
          <w:rFonts w:ascii="Times New Roman" w:eastAsia="Times New Roman" w:hAnsi="Times New Roman" w:cs="Times New Roman"/>
          <w:sz w:val="24"/>
          <w:szCs w:val="24"/>
          <w:lang w:eastAsia="hr-HR"/>
        </w:rPr>
        <w:t>960.750,00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utrošeni su za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živežnih namirnica, energije, </w:t>
      </w:r>
      <w:r w:rsidR="004147D5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investicijskog i tekućeg održavanja postrojenja i opreme, građevinskih objekata i sl.</w:t>
      </w:r>
    </w:p>
    <w:p w:rsidR="004147D5" w:rsidRDefault="004147D5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od refundacije troškova za redovne kontrole, pedagošku dokumentaciju, investicijsko održavanje zgrade, dobiveni su u iznosu od 85.269,09 od Karlovačke županije.</w:t>
      </w:r>
    </w:p>
    <w:p w:rsidR="004147D5" w:rsidRDefault="004147D5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Karlovačka županija je financirala troškove prijevoza djelatnika na posao i s posla u iznosu od 70.861,20 kn, te edukaciju djelatnika za rad u Riznici u iznosu od 1.300,00 kn.</w:t>
      </w:r>
    </w:p>
    <w:p w:rsidR="004147D5" w:rsidRDefault="004147D5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i prihodi od Karlovačke županije za financiranje rashoda za nabavu nefinancijske imovine u iznosu od 19.160,00 kn, a ta stavka sastoji se od financiranja licence za program za rad u Riznici i sufinanciranje nabavke 3 računala i 1 pisača.</w:t>
      </w:r>
    </w:p>
    <w:p w:rsidR="004147D5" w:rsidRDefault="004147D5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uplaćeni od strane Karlovačke županije po svim gore navedenim osnovama iznose 1.137.340,29 kn.</w:t>
      </w:r>
    </w:p>
    <w:p w:rsidR="00A0403E" w:rsidRPr="00CC147A" w:rsidRDefault="00A0403E" w:rsidP="00A04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HRK „Karlovac“ za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cijene usluge smještaja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učeničkom domu u iznosu od 630,00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A0403E" w:rsidRPr="00CC147A" w:rsidRDefault="00A0403E" w:rsidP="00A04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sisačko-moslavačke županije za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cijene usluge smještaja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učeničkom domu u iznosu od 315,00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općine Lasinja za sufinanciranje cijene usluge smještaja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učeničkom domu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4.900,00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grada Popovače za sufinanciranje cijene usluge smještaja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učeničkom domu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1.260,00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E9238F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 za socijalnu skrb Garešnica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sufinanciranje cijene usluge smještaja u učeničkom domu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6.300,00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E9238F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 za socijalnu skrb Korenica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sufinanciranje cijene usluge smještaja u učeničkom domu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6.300,00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uplate Centra za socijalnu skrb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Ogulin 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sufinanciranje cijene usluge smještaja u učeničkom domu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8.190,00</w:t>
      </w:r>
      <w:r w:rsidRPr="00E9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A0403E" w:rsidRDefault="00A0403E" w:rsidP="00A04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uplae Općine Saborsko za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cijene usluge smještaja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učeničkom domu u iznosu od 2.520,00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A0403E" w:rsidRPr="00CC147A" w:rsidRDefault="00A0403E" w:rsidP="00A040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od sufinanciranje Regionalne Domijade od strane učeničkih domova učesnika u iznosu od 83.815,50 kn.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odi ostvareni od potraživanja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poslana na ovrhu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3.059,01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te prihodi od zateznih kamata od uplate učenika po ovrsi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4.612,55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1.230,11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898.310,00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i koriste se za smještaj, prehranu učenika, slobodne aktivnosti, natjecanja, prezentacije Doma, te ostale aktivnosti vezane za potrebe učenika.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i financijski prihodi sa osnove prodaje stanova na kojima postoji stanarsko pravo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577,75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vlastiti prihodi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osnova refundacije troškova režija u iznosu od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13.419,95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odnose se na troškove režija nastalih </w:t>
      </w:r>
      <w:r w:rsidR="00ED5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ljetnim mjesecima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smještajem učesnika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„Izvan fokusa“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Folklornog ansambla Matija Gubec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hr-HR"/>
        </w:rPr>
        <w:t>, te učesnika povodom obilježavanja godišnjice Karlovačke građanske garde</w:t>
      </w:r>
      <w:r w:rsidR="00ED59D3">
        <w:rPr>
          <w:rFonts w:ascii="Times New Roman" w:eastAsia="Times New Roman" w:hAnsi="Times New Roman" w:cs="Times New Roman"/>
          <w:sz w:val="24"/>
          <w:szCs w:val="24"/>
          <w:lang w:eastAsia="hr-HR"/>
        </w:rPr>
        <w:t>, za koje je račun platio Grad Karlovac.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 prihodi u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 </w:t>
      </w:r>
      <w:r w:rsidR="00A0403E">
        <w:rPr>
          <w:rFonts w:ascii="Times New Roman" w:eastAsia="Times New Roman" w:hAnsi="Times New Roman" w:cs="Times New Roman"/>
          <w:sz w:val="24"/>
          <w:szCs w:val="24"/>
          <w:lang w:eastAsia="hr-HR"/>
        </w:rPr>
        <w:t>4.526.837,98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CD623B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7F9"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162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164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prikazani s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u troškovi službenih putovanja,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stručnog usavršavanja djelatnika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korištenje osobnog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auta u službene svrhe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oji su povećani u odnosu na 2015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zbog povećanih troškova smještaja i prijevoza na </w:t>
      </w:r>
      <w:r w:rsidR="00B25A47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službenim putovanjima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Zbog stalnih promjena zakonskih propisa koji se odnose na pedagoško područje i područje financija, povećala se i potreba prisustvovanja seminarima, kako bi se djelatnici kontinuirano stručno usavršavali.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Od 01.05.2016. g. Učenički dom K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arlovac ima novu ravnateljicu, koja mora prisustvovati seminarima za ravnatelje u prvoj godini mandata, pa je i to utjecalo na p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ovećanje troškova ovih pozicija kao i povećan broj nastupa učenika-tamburaške </w:t>
      </w:r>
      <w:r w:rsidR="00B25A47">
        <w:rPr>
          <w:rFonts w:ascii="Times New Roman" w:eastAsia="Times New Roman" w:hAnsi="Times New Roman" w:cs="Times New Roman"/>
          <w:sz w:val="24"/>
          <w:szCs w:val="24"/>
          <w:lang w:eastAsia="hr-HR"/>
        </w:rPr>
        <w:t>sekcije na raznim natjecanjima,</w:t>
      </w:r>
      <w:r w:rsidR="00953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turističkim promocijama.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odluci ravnateljice, odobreno je korištenje osobnog auta u službene svrhe u slučajevima kada je to ekonomičnije za odlazak i povratak na stručno usavršavanje, jer se službeni kombi ostavlja na raspolaganje za potrebe učenika.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167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iskazani su troškovi uredskog materijala, materijala za održavanje čistoće i higijenskih potreba učenika. 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168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evidentirani su troško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 za nabavu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živežnih namirnica koji su za 5,6 % manji u 2016. g. u odnosu na 2015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169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iskazani su troškovi električne energije, dizel goriva i lož 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ulja. Potrošnja energije u 2016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je za 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2,7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BA4CA7">
        <w:rPr>
          <w:rFonts w:ascii="Times New Roman" w:eastAsia="Times New Roman" w:hAnsi="Times New Roman" w:cs="Times New Roman"/>
          <w:sz w:val="24"/>
          <w:szCs w:val="24"/>
          <w:lang w:eastAsia="hr-HR"/>
        </w:rPr>
        <w:t>manja nego u 2015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rezultat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ekonomičnog korištenja energenata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ali bilježi se i smanjenje troškova ostalih energenata u odnosu na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to kako slijedi:</w:t>
      </w:r>
    </w:p>
    <w:p w:rsidR="00CD623B" w:rsidRPr="00D350EC" w:rsidRDefault="00CD623B" w:rsidP="00CD623B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50EC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 potrošnje 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ektrične energije je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95,69 u 2016</w:t>
      </w:r>
      <w:r w:rsidRPr="00D350EC">
        <w:rPr>
          <w:rFonts w:ascii="Times New Roman" w:eastAsia="Times New Roman" w:hAnsi="Times New Roman" w:cs="Times New Roman"/>
          <w:sz w:val="24"/>
          <w:szCs w:val="24"/>
          <w:lang w:eastAsia="hr-HR"/>
        </w:rPr>
        <w:t>. u odnosu na 201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50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Pr="00767F62" w:rsidRDefault="00CD623B" w:rsidP="00CD623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trošnje lož ulja je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98,07 u 2016. u odnosu na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zbog gore navedenog razloga.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170 iskazani su materijali i dijelovi za tekuće i investicijsko održavanje, čiji indeks je </w:t>
      </w:r>
      <w:r w:rsidR="00DC3918">
        <w:rPr>
          <w:rFonts w:ascii="Times New Roman" w:eastAsia="Times New Roman" w:hAnsi="Times New Roman" w:cs="Times New Roman"/>
          <w:sz w:val="24"/>
          <w:szCs w:val="24"/>
          <w:lang w:eastAsia="hr-HR"/>
        </w:rPr>
        <w:t>37,6 u odnosu na 2015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Na toj poziciji prikazani su rezervni dijelovi i materijal za tekuće i investicijsko održavanje postrojenja i opreme kao što su žarulje, wc daske, silikonski sprejevi, grijači, brave, pipe i ostali slični proizvodi, koji su omogućili hitne popravke u domu, koje smo sami izvršili.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7F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AOP 171 sitni inventar i autogume - nabavljeno je sitnog inventara u iznosu od </w:t>
      </w:r>
      <w:r w:rsidR="00B717FE">
        <w:rPr>
          <w:rFonts w:ascii="Times New Roman" w:eastAsia="Times New Roman" w:hAnsi="Times New Roman" w:cs="Times New Roman"/>
          <w:sz w:val="24"/>
          <w:szCs w:val="24"/>
          <w:lang w:eastAsia="hr-HR"/>
        </w:rPr>
        <w:t>19.990,33</w:t>
      </w:r>
      <w:r w:rsidRPr="00157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nabavljeno je</w:t>
      </w:r>
      <w:r w:rsidR="00B717F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57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17FE">
        <w:rPr>
          <w:rFonts w:ascii="Times New Roman" w:eastAsia="Times New Roman" w:hAnsi="Times New Roman" w:cs="Times New Roman"/>
          <w:sz w:val="24"/>
          <w:szCs w:val="24"/>
          <w:lang w:eastAsia="hr-HR"/>
        </w:rPr>
        <w:t>optički čitač i prednaponska zaštita, 200 kom plahti, usisavač za ženski odjel, citruseta za kuhinju, jedan mobilni aparat, tepisi za tajništvo, karniše i zavjese, 6 kom vatrogasnih aparata i gumena staza za streljanu.</w:t>
      </w:r>
    </w:p>
    <w:p w:rsidR="00B717FE" w:rsidRPr="001577F9" w:rsidRDefault="00B717FE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AOP 173 prikazani su troškovi službene radne i zaštitne odjeće i obuće, koje iznose 11.491,43 kn. Došlo je do znatnog povećanja ove stavke u odnosu na 2015. g. od 124</w:t>
      </w:r>
      <w:r w:rsidR="00C27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zbog nabavke radne i zaštitne odjeće i obuće za 2015. godinu, koja je prenešena na </w:t>
      </w:r>
      <w:r w:rsidR="00ED5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01/2016.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 troškove koji nisu bili neophodni za 2015. godinu</w:t>
      </w:r>
      <w:r w:rsidR="00ED59D3">
        <w:rPr>
          <w:rFonts w:ascii="Times New Roman" w:eastAsia="Times New Roman" w:hAnsi="Times New Roman" w:cs="Times New Roman"/>
          <w:sz w:val="24"/>
          <w:szCs w:val="24"/>
          <w:lang w:eastAsia="hr-HR"/>
        </w:rPr>
        <w:t>, prebacili smo na 2016. godinu, jer nismo ostvarili planirane prihode od uplate Karlovačke županije za sufinanciranje smještaja učenika u dom.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176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iskazani su rashodi za usluge teku</w:t>
      </w:r>
      <w:r w:rsidR="00D46933">
        <w:rPr>
          <w:rFonts w:ascii="Times New Roman" w:eastAsia="Times New Roman" w:hAnsi="Times New Roman" w:cs="Times New Roman"/>
          <w:sz w:val="24"/>
          <w:szCs w:val="24"/>
          <w:lang w:eastAsia="hr-HR"/>
        </w:rPr>
        <w:t>ćeg i investicijskog održavanja, koji su u odnosu na 2015. godinu za 10 % veći.</w:t>
      </w:r>
    </w:p>
    <w:p w:rsidR="00CD623B" w:rsidRDefault="00B717FE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tijeku 2016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izvršeni su </w:t>
      </w:r>
      <w:r w:rsidR="00D46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popravci krovne limarije, zamjena vrata kupaone na 2. katu, zamjena tuš-kabina na 1. i 2. katu ženskog odjela, lakiranje parketa, ličenje zidova, popravak vodovodnih instalacija, provođenje svih redovnih kontrola ispitivanja instalacija: vodovodnih, elektro, sustava vatrodojave, videonadzora.  Izvršena je i izrada pregrade na 5. odjelu – ženskom odjelu zbog povećanog interesa </w:t>
      </w:r>
      <w:r w:rsidR="00D46933" w:rsidRPr="00D4693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učenica za smještaj u Domu</w:t>
      </w:r>
      <w:r w:rsidR="00D469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76482" w:rsidRDefault="00976482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toku 2016. godine došlo je do promjene plana kapitalnih ulaganja za 2016. g., i vezano za to donesene su i odluke Domskog odbor</w:t>
      </w:r>
      <w:r w:rsidR="00C27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 rebalansu sredstava. Kako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još uvijek pitanje vlasništva nije bilo riješeno, </w:t>
      </w:r>
      <w:r w:rsidR="00C27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smo dobili u toku 2016. godine, odlučeno je da se neće ići u uređenje atrija Doma, kao što je bilo prvotno planirano u planu kapitalnih ulaganja za 2016. godinu.</w:t>
      </w:r>
    </w:p>
    <w:p w:rsidR="00976482" w:rsidRDefault="00976482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Ormar i regal za dvoranu 2 nisu realizirani u 2016. godini, jer su predviđena sredstva bila niža od dobivenih ponuda pa kako nije postojala hitnost nabavke istih, odgođeno je za 2017. godinu i stavljeno u plan kapitalnih ulaganja i financijski plan za 2017. godinu.</w:t>
      </w:r>
    </w:p>
    <w:p w:rsidR="00976482" w:rsidRDefault="00976482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prvotnom planu kapitalnih ulaganja za 2016. godinu bila je planirana nabavka novih stolica za zbornicu i za to je bilo predviđeno 2.000,00 kn. Uvidom u cijene na tržištu, zaključeno je da je to premalo sredstava za cijelu nabavku, a kako se javila i potreba zamjena stolica u upravi, predložen je rebalans</w:t>
      </w:r>
      <w:r w:rsidR="00F869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ova stavka povećava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20.000,00 kn, za nabavu 11 stolica.</w:t>
      </w:r>
    </w:p>
    <w:p w:rsidR="00B25A47" w:rsidRDefault="00B25A47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A47" w:rsidRDefault="00B25A47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A47" w:rsidRDefault="00B25A47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2CB" w:rsidRDefault="00E122C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toku godine pojavile su se situacije kada je bilo potrebno hitno nabaviti pojedina osnovna sredstva ili izvršiti tekuće održavanje zgrade i tada se donosila odluka o rebalansu od strane Domskog odbora Učeničkog doma Karlovac, kojom su se osiguravala sredstva za realizaciju </w:t>
      </w:r>
    </w:p>
    <w:p w:rsidR="00E122CB" w:rsidRDefault="00E122C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istih. Napominjemo da su po svim odlukama o rebalansu izvršene promjene u planu kapitalnih ulaganja za 2016. g. i u financijskom planu za 2016. godinu.</w:t>
      </w:r>
    </w:p>
    <w:p w:rsidR="00976482" w:rsidRDefault="00E122C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Napominjemo da je u 2016. godini dio nabavke osnovnih sredstava planiran iz viška prihoda nad rashodima iz prethodnih godina, međutim zbog uspješnog poslovanja u 2016. godini, sve nabavke osnovnih sredstava, sitnog inventara, tekućeg i investicijskog održavanja pokrivene su redovnim financijskim poslovanjem doma.</w:t>
      </w:r>
    </w:p>
    <w:p w:rsidR="00E122CB" w:rsidRDefault="00E122C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usluge na AOP 178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 niže</w:t>
      </w:r>
      <w:r w:rsidR="00E12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odnosu na 2015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Pod ovom pozicijom prikazane su potrošnja vode, odvoz smeća, deratizacija, kanalizacija, komunalna naknada i naknada za uređenje voda, te dimnjačarske i ekološke usluge. 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2C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180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prikazane su zdravstvene, veterinarske usluge u iznosu od </w:t>
      </w:r>
      <w:r w:rsidR="00E122CB">
        <w:rPr>
          <w:rFonts w:ascii="Times New Roman" w:eastAsia="Times New Roman" w:hAnsi="Times New Roman" w:cs="Times New Roman"/>
          <w:sz w:val="24"/>
          <w:szCs w:val="24"/>
          <w:lang w:eastAsia="hr-HR"/>
        </w:rPr>
        <w:t>8.618,33 kn, indeks u odnosu na 2015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je </w:t>
      </w:r>
      <w:r w:rsidR="00E122CB">
        <w:rPr>
          <w:rFonts w:ascii="Times New Roman" w:eastAsia="Times New Roman" w:hAnsi="Times New Roman" w:cs="Times New Roman"/>
          <w:sz w:val="24"/>
          <w:szCs w:val="24"/>
          <w:lang w:eastAsia="hr-HR"/>
        </w:rPr>
        <w:t>79,2.</w:t>
      </w:r>
    </w:p>
    <w:p w:rsidR="00A0403E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181 prikazane su intelektualne i osobne usluge, odnosno ugovori o djelu i troško</w:t>
      </w:r>
      <w:r w:rsidR="00E122CB">
        <w:rPr>
          <w:rFonts w:ascii="Times New Roman" w:eastAsia="Times New Roman" w:hAnsi="Times New Roman" w:cs="Times New Roman"/>
          <w:sz w:val="24"/>
          <w:szCs w:val="24"/>
          <w:lang w:eastAsia="hr-HR"/>
        </w:rPr>
        <w:t>vi odvjetnika. Pozicija je za 32 % veća u odnosu na 2015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</w:t>
      </w:r>
      <w:r w:rsidR="00E122CB">
        <w:rPr>
          <w:rFonts w:ascii="Times New Roman" w:eastAsia="Times New Roman" w:hAnsi="Times New Roman" w:cs="Times New Roman"/>
          <w:sz w:val="24"/>
          <w:szCs w:val="24"/>
          <w:lang w:eastAsia="hr-HR"/>
        </w:rPr>
        <w:t>zbog angažiranja više vanjskih suradnika za vođenje sekcija nego u 2015. godini. Kako je ravnateljica dok je radila na radnom mjestu odgajatelja</w:t>
      </w:r>
      <w:r w:rsidR="002F1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vodila tamburašku sekciju, bilo je potrebno angažirati vanjskog suradnika za taj posao. Također, pokazan je interes učenika za formiranjem zbora u domu, te je istom udovoljeno angažiranjem vanjskog suradnika. U 2015. godini su bila angažirana 2 vanjska suradnika, a u 2016. godini 4 vanjska suradnika.</w:t>
      </w:r>
    </w:p>
    <w:p w:rsidR="002F19BA" w:rsidRDefault="002F19BA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182 računalne usluge došlo je do povećanja pozicije za 36% u odnosu na 2015. godinu, zbog dodatnog angažiranja informatičke firme za održavanje naše internetske stranice.</w:t>
      </w:r>
    </w:p>
    <w:p w:rsidR="002F19BA" w:rsidRDefault="002F19BA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183 ostale usluge prikazan je trošak od ukupno 6.030,26 kn, a obuhvaća usluge registracije kombi vozila, čiščenje i pranje kombi vozila, usluge čuvanja imovine, usluge centralnog dojavnog sustava, te ostale sitne usluge kao što je popravak stakla na prozorima, oštrenje noževa i sl.</w:t>
      </w:r>
    </w:p>
    <w:p w:rsidR="00DE3FB4" w:rsidRDefault="00DE3FB4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190 prikazane su članarine u iznosu od 1.200,00 kn i koje su u odnosu na 2015. godinu veće zbog toga što u 2015. godini nije bila plaćena članarina udruzi učeničkih domova, već samo članarina HAK-u i Udruzi srednjoškolskih ravnatelja.</w:t>
      </w:r>
    </w:p>
    <w:p w:rsidR="00C27810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191 prikazane su pristojbe i naknade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naknade za nezapošljavanje osoba s invaliditetom i tv pretplata, zbog koje je ova pozicija veća za 130 % u odnosu na 2015. godinu.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Naime, do 2015. godine tv pretplatu prikazivali smo u skupini konta 323 Rahodi za usluge, ali smo na prijedlog Upravnog odjela za financije Karlovačke županije, trošak preselili u skupinu konta 3295 Pristojbe i naknade.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193 iskazani su troškovi takmičenja i sekcija čiji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indeks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2015.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273,3 zbog uključenih troškova Regionalne Domijade, čiji smo mi bili domaćin, a koji nisu bili u 2015. godini.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u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 su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4.102.839,10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273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iskazan višak prihoda nad rashodima od redovnog poslovanja u iznosu od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423.421,13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294 prikazani su prihodi od prodaje nefinancijske imovine – stanovi, u iznosu od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577,75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334 prikazani su rashodi za nabavku nefinancijske imovine u iznosu od 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44.014,25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odnose se na nabavu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stolica za zbornicu i urede, servera za informatičku radionicu, kamera za nadzorni sustav, 3 (tri) računala i 1 </w:t>
      </w:r>
      <w:r w:rsidR="00F869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(jedan)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>pisač i licencu za program Riznice Karlovačke županije.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Karlovačka županija sufinancirala je nabavu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(tri)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računala,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>(jednog) pisača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16.000,00 kn i platila je licencu za program Riznice kar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lovačke županije za 1 </w:t>
      </w:r>
      <w:r w:rsidR="00F869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(jednog) 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 u iznosu od 3.160,00 kn.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397 iskazan je manjak prihoda od nefinancijske imovine u iznosu od 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hr-HR"/>
        </w:rPr>
        <w:t>43.436,50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A2361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smo 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>dio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nabavku 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računala i pisača i troškove licence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dobili od Karlovačke županije kao osnivača, proveli smo obveznu korekciju rezultata, kojim smo </w:t>
      </w:r>
      <w:r w:rsidR="00A236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prihoda nad rashodima od redovnog poslovanja od 423.421,13 kn umanjili za iznos dobiven od Karlovačke županije od 19.160,00 kn, i dobili višak prihoda nad rashodima od redovnog poslovanja nakon korekcije rezultata u iznosu od 404.261,13 kn.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Za iznos od 19.160,00 kn izvršena je i korekcija manjka prihoda od nefinancijske imovine u iznosu od 43.436,50 kn i dobiven je manjak prihoda od nefinancijske imovine nakon korekcije rezultata u iznosu od 24.276,50 kn.</w:t>
      </w:r>
    </w:p>
    <w:p w:rsidR="00CD623B" w:rsidRPr="00CC147A" w:rsidRDefault="00F52DA4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u 2016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su </w:t>
      </w:r>
      <w:r w:rsidR="00CD623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.146.853,35</w:t>
      </w:r>
      <w:r w:rsidR="00CD6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Default="00F86969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sjedni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ci Domskog odbora u 2017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prilikom donošenja Odluke o pri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hvaćanju završnog računa za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predložit će se i raspodjela ostvarenog viška prihoda od redovnog poslovanja na pokriće manjka prihoda od nabave nefinancijske imovine, a ostatak viška prihoda nad rashodima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379.984,63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 nadodat će se prenesenom višku prihoda nad rashodima iz prijašnjih godina, te će krajnji višak prihoda nad rashodima iznositi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1.311.385,93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2F19BA" w:rsidRDefault="002F19BA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BILANCU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 AOP 067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evidentirano je stanje na žiro računu doma u iznosu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1.328.626,93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kune.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071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evidentirano je stanje blagajne u iznosu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1.679,09 kune na dan 31.12.2016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Dom potražuje 383.101,07 kuna deponiranih kod Komercijalne banke d.d., Zagreb nad kojom je pokrenut stečajni postupak u tijeku 1999. godine.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Potraživanje Doma od 5.197.151,90 kuna deponiranih u Glumina banci u Zagrebu koja je blokirana od 1998. godine. Sredstva iz Komercijalne i Glumine banke su prijavljena u stečajnu masu i kao takva u cijelosti priznata.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130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udjeli dionica Karlovačke banke u iznosu od 9.000,00 kuna – nominalna vrijednost. 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139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 je ispravak vrijednosti dionica Karlovačke banke u iznosu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909,00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152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evidentirana su potraživanja za prihode od poslovanja u iznosu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35.741,80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odnose se na potraživanja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učenika iz prethodnih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poslana na ovrhu u iznosu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11.390,00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potraživanja od učenika u iznosu od </w:t>
      </w:r>
      <w:r w:rsidR="00320BD5">
        <w:rPr>
          <w:rFonts w:ascii="Times New Roman" w:eastAsia="Times New Roman" w:hAnsi="Times New Roman" w:cs="Times New Roman"/>
          <w:sz w:val="24"/>
          <w:szCs w:val="24"/>
          <w:lang w:eastAsia="hr-HR"/>
        </w:rPr>
        <w:t>21.420,00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</w:t>
      </w:r>
      <w:r w:rsid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potraživanja od Sisačko-moslavačke županije u iznosu od 630,00 kn,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potraživanja od Centra za socijalnu skrb </w:t>
      </w:r>
      <w:r w:rsid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>Korenica u iznosu od 630,00 kn,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potraživanja od Centra za socijalnu skrb Ogulin u iznosu od </w:t>
      </w:r>
      <w:r w:rsid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>1.260,00 kn i potraživanja za sufinanciranje Regionalne Domijade- učesnici u iznosu od 411,80 kn.</w:t>
      </w:r>
    </w:p>
    <w:p w:rsidR="00BF0E53" w:rsidRDefault="00BF0E53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154 evidentirana su potraživanja od Karlovačke županije za sufinanciranje smještaja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čenika za 2016</w:t>
      </w:r>
      <w:r w:rsidRP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170.390,00 kn. U nekoliko navrata u toku 2016. godine pokušavali smo dati </w:t>
      </w:r>
      <w:r w:rsidR="00F8696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rebalansa Riznice Karl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ovačke županije na poziciji smještaj i prehrana učenika u našem Domu kako bi nam Karlovačka županija podmirila dug iz 2015. godine u iznosu od 182.360,00 kn. Naši prijedlozi nisi prihvaćeni već je taj dug smanjen samo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na 170.390,00 kn. Obrazloženje prijedloga ovih rebalansa nalaze se uz obrazloženje financijskih planova Učeničkog doma Karlovac.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157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 je iznos od </w:t>
      </w:r>
      <w:r w:rsid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>3.174,12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odnosi se na potraživanja od prodanih stanova na kojima postoji stanarsko pravo.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AOP 159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iskazana su potraživanja od Ministarstva znanosti, obrazovanja i sporta za obračun plaća za 12. mjesec u iznosu od </w:t>
      </w:r>
      <w:r w:rsidR="00BF0E53">
        <w:rPr>
          <w:rFonts w:ascii="Times New Roman" w:eastAsia="Times New Roman" w:hAnsi="Times New Roman" w:cs="Times New Roman"/>
          <w:sz w:val="24"/>
          <w:szCs w:val="24"/>
          <w:lang w:eastAsia="hr-HR"/>
        </w:rPr>
        <w:t>193.013,60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AOP-ima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165, 166, 170 i 175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iskazane su obveze u iznosu od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229.362,86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odnose se na r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ačune dobavljača dobivene u 2017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teretili rashode za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 iznosu od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33.920,09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, ob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veze za isplatu plaće za 12/2016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193.013,60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i obveze za povrat sredstava za refundaciju bolovanja iznad 42 dana u iznosu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2.429,17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ukupne aktive i pasive iznosi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12.811.808,39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PROMJENE U VRIJEDNOSTI I OBUJMU IMOVINE I OBVEZA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015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iskazano je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vrijednosti financijske imovine u iznosu od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639,00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odnosi se na usklađenje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tržišne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vrijednosti dionica Karlovačke banke d.d.</w:t>
      </w:r>
    </w:p>
    <w:p w:rsidR="00CD623B" w:rsidRPr="00CC147A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021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iskazano je smanjenje u obujmu imovine u iznosu od 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837,60 kuna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od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nosi se na rashod knjiga za 2016. godina.</w:t>
      </w:r>
    </w:p>
    <w:p w:rsidR="00252A2F" w:rsidRDefault="00252A2F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DE3FB4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na dan 31.12.2016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zaposleno 26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2 (dvoje) na određeno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Uspoređujući poslovanje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Učeničkog doma Karlovac za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odnosu na 201</w:t>
      </w:r>
      <w:r w:rsidR="00DE3F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vidljivo je da su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za 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10,4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rashodi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1,3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% u od</w:t>
      </w:r>
      <w:r w:rsidR="00252A2F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2015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što ukazuje na savjesno poslovanje u okviru raspoloživih mogućnosti, a da se novim ulaganjem i održavanjem i dalje poboljšavao standard smještaja i prehrane učenika kao i uvjeti rada zaposlenih. Usporedba reali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zacije prihoda i rashoda za 2016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ukazuje na realno planiranje jer je realizacija na 3. razini u okviru plana, te nije bilo potrebe za donošenjem rebalansa.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623B" w:rsidRPr="00CC147A" w:rsidRDefault="00CD623B" w:rsidP="00CD62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velikim potraživanjima od osnivača i u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čenika, koji nisu plaćeni u 2016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ni, a samim time ni oprihodovani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ostvaril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i smo pozitivan rezultat za 2016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odnosno višak prihoda nad rashodima u iznosu </w:t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379.984,63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kune.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CC147A" w:rsidRDefault="001D39F2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BF1A5C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siječanj 2017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CD623B"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D623B" w:rsidRPr="00CC147A" w:rsidRDefault="00CD623B" w:rsidP="00CD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D39F2">
        <w:rPr>
          <w:rFonts w:ascii="Times New Roman" w:eastAsia="Times New Roman" w:hAnsi="Times New Roman" w:cs="Times New Roman"/>
          <w:sz w:val="24"/>
          <w:szCs w:val="24"/>
          <w:lang w:eastAsia="hr-HR"/>
        </w:rPr>
        <w:t>Astrid Pavletić</w:t>
      </w:r>
      <w:r w:rsidRPr="00CC147A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790B7E" w:rsidRPr="00F86969" w:rsidRDefault="00790B7E" w:rsidP="00F86969">
      <w:pPr>
        <w:tabs>
          <w:tab w:val="left" w:pos="2430"/>
        </w:tabs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sectPr w:rsidR="00790B7E" w:rsidRPr="00F86969" w:rsidSect="004127A1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A8" w:rsidRDefault="009C2FA8" w:rsidP="00911CC0">
      <w:pPr>
        <w:spacing w:after="0" w:line="240" w:lineRule="auto"/>
      </w:pPr>
      <w:r>
        <w:separator/>
      </w:r>
    </w:p>
  </w:endnote>
  <w:endnote w:type="continuationSeparator" w:id="0">
    <w:p w:rsidR="009C2FA8" w:rsidRDefault="009C2FA8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A8" w:rsidRDefault="009C2FA8" w:rsidP="00911CC0">
      <w:pPr>
        <w:spacing w:after="0" w:line="240" w:lineRule="auto"/>
      </w:pPr>
      <w:r>
        <w:separator/>
      </w:r>
    </w:p>
  </w:footnote>
  <w:footnote w:type="continuationSeparator" w:id="0">
    <w:p w:rsidR="009C2FA8" w:rsidRDefault="009C2FA8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7A1" w:rsidRDefault="004127A1" w:rsidP="004127A1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632AB3" wp14:editId="1769D94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127A1" w:rsidRPr="00AD7547" w:rsidRDefault="004127A1" w:rsidP="004127A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4127A1" w:rsidRPr="00AD7547" w:rsidRDefault="004127A1" w:rsidP="004127A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32A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4127A1" w:rsidRPr="00AD7547" w:rsidRDefault="004127A1" w:rsidP="004127A1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4127A1" w:rsidRPr="00AD7547" w:rsidRDefault="004127A1" w:rsidP="004127A1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52C1B191" wp14:editId="6BC5DEAA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C1B8B" wp14:editId="02B959AC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</w:t>
                          </w: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tel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/fax)</w:t>
                          </w: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</w:t>
                          </w:r>
                          <w:proofErr w:type="spellStart"/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Educators</w:t>
                          </w:r>
                          <w:proofErr w:type="spellEnd"/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4127A1" w:rsidRPr="006F0638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C1B8B" id="_x0000_s1027" type="#_x0000_t202" style="position:absolute;margin-left:262.95pt;margin-top:-5.45pt;width:23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4127A1" w:rsidRPr="00E01171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4127A1" w:rsidRPr="00E01171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4127A1" w:rsidRPr="00E01171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proofErr w:type="spellStart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</w:t>
                    </w:r>
                    <w:proofErr w:type="spellStart"/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tel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/fax)</w:t>
                    </w: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proofErr w:type="spellStart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</w:t>
                    </w:r>
                    <w:proofErr w:type="spellStart"/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Educators</w:t>
                    </w:r>
                    <w:proofErr w:type="spellEnd"/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4127A1" w:rsidRPr="006F0638" w:rsidRDefault="004127A1" w:rsidP="004127A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4127A1" w:rsidRPr="00E01171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1DB7A" wp14:editId="113D8F72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127A1" w:rsidRPr="00E01171" w:rsidRDefault="004127A1" w:rsidP="004127A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4127A1" w:rsidRPr="00E01171" w:rsidRDefault="004127A1" w:rsidP="004127A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school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proofErr w:type="spellStart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dormitory</w:t>
                          </w:r>
                          <w:proofErr w:type="spellEnd"/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4127A1" w:rsidRPr="00E01171" w:rsidRDefault="004127A1" w:rsidP="004127A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4127A1" w:rsidRPr="00E01171" w:rsidRDefault="004127A1" w:rsidP="004127A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4127A1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4127A1" w:rsidRPr="005045A4" w:rsidRDefault="004127A1" w:rsidP="004127A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1DB7A" id="_x0000_s1028" type="#_x0000_t202" style="position:absolute;margin-left:87.25pt;margin-top:-5.4pt;width:157.6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4127A1" w:rsidRPr="00E01171" w:rsidRDefault="004127A1" w:rsidP="004127A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4127A1" w:rsidRPr="00E01171" w:rsidRDefault="004127A1" w:rsidP="004127A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proofErr w:type="spellStart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proofErr w:type="spellStart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school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proofErr w:type="spellStart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dormitory</w:t>
                    </w:r>
                    <w:proofErr w:type="spellEnd"/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4127A1" w:rsidRPr="00E01171" w:rsidRDefault="004127A1" w:rsidP="004127A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4127A1" w:rsidRPr="00E01171" w:rsidRDefault="004127A1" w:rsidP="004127A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4127A1" w:rsidRPr="00E01171" w:rsidRDefault="004127A1" w:rsidP="004127A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4127A1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4127A1" w:rsidRPr="005045A4" w:rsidRDefault="004127A1" w:rsidP="004127A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4D4C5" wp14:editId="11534091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7EEFD" id="Ravni poveznik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  <w:p w:rsidR="004127A1" w:rsidRDefault="004127A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F5"/>
    <w:rsid w:val="000367B0"/>
    <w:rsid w:val="00043CA8"/>
    <w:rsid w:val="000832E0"/>
    <w:rsid w:val="000C70B6"/>
    <w:rsid w:val="000E5597"/>
    <w:rsid w:val="001041B2"/>
    <w:rsid w:val="00115096"/>
    <w:rsid w:val="001A0820"/>
    <w:rsid w:val="001D39F2"/>
    <w:rsid w:val="00210A9E"/>
    <w:rsid w:val="00250E70"/>
    <w:rsid w:val="00252A2F"/>
    <w:rsid w:val="002E7272"/>
    <w:rsid w:val="002F19BA"/>
    <w:rsid w:val="00320BD5"/>
    <w:rsid w:val="003A724C"/>
    <w:rsid w:val="004127A1"/>
    <w:rsid w:val="004147D5"/>
    <w:rsid w:val="00485538"/>
    <w:rsid w:val="00496A89"/>
    <w:rsid w:val="005045A4"/>
    <w:rsid w:val="005E2863"/>
    <w:rsid w:val="00615887"/>
    <w:rsid w:val="006F0638"/>
    <w:rsid w:val="00716B1D"/>
    <w:rsid w:val="007817AF"/>
    <w:rsid w:val="00790B7E"/>
    <w:rsid w:val="00797674"/>
    <w:rsid w:val="007B080D"/>
    <w:rsid w:val="007B780B"/>
    <w:rsid w:val="00821CC1"/>
    <w:rsid w:val="00865C50"/>
    <w:rsid w:val="00911CC0"/>
    <w:rsid w:val="00913113"/>
    <w:rsid w:val="00950A53"/>
    <w:rsid w:val="009539C3"/>
    <w:rsid w:val="00976482"/>
    <w:rsid w:val="009C2FA8"/>
    <w:rsid w:val="00A0403E"/>
    <w:rsid w:val="00A2361A"/>
    <w:rsid w:val="00A27616"/>
    <w:rsid w:val="00A802E1"/>
    <w:rsid w:val="00AD5A3A"/>
    <w:rsid w:val="00AD6851"/>
    <w:rsid w:val="00AD7547"/>
    <w:rsid w:val="00AF3E4E"/>
    <w:rsid w:val="00B25A47"/>
    <w:rsid w:val="00B717FE"/>
    <w:rsid w:val="00B80622"/>
    <w:rsid w:val="00B865E6"/>
    <w:rsid w:val="00B92314"/>
    <w:rsid w:val="00BA4CA7"/>
    <w:rsid w:val="00BF0E53"/>
    <w:rsid w:val="00BF1A5C"/>
    <w:rsid w:val="00C25C6A"/>
    <w:rsid w:val="00C27810"/>
    <w:rsid w:val="00C878C1"/>
    <w:rsid w:val="00CD623B"/>
    <w:rsid w:val="00D46933"/>
    <w:rsid w:val="00DC3918"/>
    <w:rsid w:val="00DD5787"/>
    <w:rsid w:val="00DE3FB4"/>
    <w:rsid w:val="00E01171"/>
    <w:rsid w:val="00E122CB"/>
    <w:rsid w:val="00E44D32"/>
    <w:rsid w:val="00E6295C"/>
    <w:rsid w:val="00EB3C77"/>
    <w:rsid w:val="00ED59D3"/>
    <w:rsid w:val="00F04FFC"/>
    <w:rsid w:val="00F30E6F"/>
    <w:rsid w:val="00F52DA4"/>
    <w:rsid w:val="00F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58C1-E78E-4BD6-A223-31C4003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2698</Words>
  <Characters>15384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Andreja</cp:lastModifiedBy>
  <cp:revision>5</cp:revision>
  <cp:lastPrinted>2016-02-12T06:40:00Z</cp:lastPrinted>
  <dcterms:created xsi:type="dcterms:W3CDTF">2017-01-27T09:45:00Z</dcterms:created>
  <dcterms:modified xsi:type="dcterms:W3CDTF">2017-01-27T09:53:00Z</dcterms:modified>
</cp:coreProperties>
</file>